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4A" w:rsidRDefault="0048014A" w:rsidP="0048014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35"/>
        <w:gridCol w:w="3747"/>
      </w:tblGrid>
      <w:tr w:rsidR="0048014A" w:rsidTr="00335D2C"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Понуђач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Седиште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Бр.рачуна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ПИБ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Шифра делатности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Матични број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ar-SA"/>
              </w:rPr>
              <w:t>Тел/факс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:</w:t>
            </w:r>
          </w:p>
        </w:tc>
        <w:tc>
          <w:tcPr>
            <w:tcW w:w="3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14A" w:rsidRPr="00A046F6" w:rsidRDefault="0048014A" w:rsidP="00335D2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014A" w:rsidRDefault="0048014A" w:rsidP="0048014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8014A" w:rsidRDefault="0048014A" w:rsidP="0048014A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val="single"/>
          <w:lang w:val="sr-Cyrl-CS" w:eastAsia="ar-SA"/>
        </w:rPr>
      </w:pPr>
    </w:p>
    <w:p w:rsidR="0048014A" w:rsidRDefault="0048014A" w:rsidP="0048014A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8014A" w:rsidRDefault="0048014A" w:rsidP="0048014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Cs/>
          <w:color w:val="000000"/>
          <w:kern w:val="2"/>
          <w:sz w:val="28"/>
          <w:szCs w:val="28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0"/>
          <w:kern w:val="2"/>
          <w:sz w:val="28"/>
          <w:szCs w:val="28"/>
          <w:lang w:eastAsia="ar-SA"/>
        </w:rPr>
        <w:t>ОБРАЗАЦ ТРОШКОВА ПРИПРЕМЕ ПОНУДЕ</w:t>
      </w:r>
    </w:p>
    <w:p w:rsidR="0048014A" w:rsidRDefault="0048014A" w:rsidP="0048014A">
      <w:pPr>
        <w:suppressAutoHyphens/>
        <w:spacing w:after="0"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2"/>
          <w:sz w:val="28"/>
          <w:szCs w:val="28"/>
          <w:lang w:eastAsia="ar-SA"/>
        </w:rPr>
      </w:pPr>
    </w:p>
    <w:p w:rsidR="0048014A" w:rsidRDefault="0048014A" w:rsidP="0048014A">
      <w:pPr>
        <w:suppressAutoHyphens/>
        <w:spacing w:after="0"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2"/>
          <w:sz w:val="28"/>
          <w:szCs w:val="28"/>
          <w:lang w:eastAsia="ar-SA"/>
        </w:rPr>
      </w:pPr>
    </w:p>
    <w:p w:rsidR="0048014A" w:rsidRDefault="0048014A" w:rsidP="0048014A">
      <w:pPr>
        <w:suppressAutoHyphens/>
        <w:spacing w:after="120" w:line="100" w:lineRule="atLeast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У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складу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са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чланом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>138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.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 xml:space="preserve">став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З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закона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понуђач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_____________________</w:t>
      </w:r>
      <w:r>
        <w:rPr>
          <w:rFonts w:ascii="Arial" w:eastAsia="Arial Unicode MS" w:hAnsi="Arial" w:cs="Arial"/>
          <w:i/>
          <w:iCs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достав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 xml:space="preserve">ља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укупан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износ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и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структуру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трошкова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припремања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понуде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  <w:t xml:space="preserve">како следи у </w:t>
      </w:r>
      <w:proofErr w:type="spellStart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табели</w:t>
      </w:r>
      <w:proofErr w:type="spellEnd"/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:</w:t>
      </w:r>
    </w:p>
    <w:tbl>
      <w:tblPr>
        <w:tblW w:w="0" w:type="auto"/>
        <w:tblInd w:w="2" w:type="dxa"/>
        <w:tblLayout w:type="fixed"/>
        <w:tblLook w:val="04A0"/>
      </w:tblPr>
      <w:tblGrid>
        <w:gridCol w:w="5565"/>
        <w:gridCol w:w="3290"/>
      </w:tblGrid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14A" w:rsidRDefault="0048014A" w:rsidP="00335D2C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4A" w:rsidRDefault="0048014A" w:rsidP="00335D2C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ИЗНОС ТРОШКА У РСД</w:t>
            </w: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rPr>
          <w:trHeight w:val="108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8014A" w:rsidTr="00335D2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14A" w:rsidRDefault="0048014A" w:rsidP="00335D2C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48014A" w:rsidRDefault="0048014A" w:rsidP="00335D2C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4A" w:rsidRPr="00A046F6" w:rsidRDefault="0048014A" w:rsidP="00335D2C">
            <w:pPr>
              <w:suppressAutoHyphens/>
              <w:snapToGrid w:val="0"/>
              <w:spacing w:after="0" w:line="100" w:lineRule="atLeast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8014A" w:rsidRDefault="0048014A" w:rsidP="0048014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8014A" w:rsidRDefault="0048014A" w:rsidP="0048014A">
      <w:pPr>
        <w:suppressAutoHyphens/>
        <w:spacing w:after="120" w:line="100" w:lineRule="atLeast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lang w:val="sr-Cyrl-CS" w:eastAsia="ar-SA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Трошкове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припремања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подношења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сноси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искључиво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тражи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накнаду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А</w:t>
      </w:r>
      <w:r>
        <w:rPr>
          <w:rFonts w:ascii="Arial" w:hAnsi="Arial" w:cs="Arial"/>
          <w:sz w:val="24"/>
          <w:szCs w:val="24"/>
        </w:rPr>
        <w:t xml:space="preserve">ко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обустављен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настрани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наручилац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надокнади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узорка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модела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израђени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техничким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спецификацијама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трошкове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прибављања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обезбеђења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тражио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накнаду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својој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8014A" w:rsidRDefault="0048014A" w:rsidP="0048014A">
      <w:pPr>
        <w:suppressAutoHyphens/>
        <w:spacing w:after="120" w:line="100" w:lineRule="atLeast"/>
        <w:ind w:firstLine="42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20ECD" w:rsidRDefault="00D20ECD" w:rsidP="00D20ECD">
      <w:pPr>
        <w:rPr>
          <w:bCs/>
          <w:color w:val="FF0000"/>
          <w:lang w:val="sr-Cyrl-CS"/>
        </w:rPr>
      </w:pPr>
      <w:proofErr w:type="spellStart"/>
      <w:r>
        <w:rPr>
          <w:rFonts w:ascii="Arial" w:hAnsi="Arial" w:cs="Arial"/>
          <w:b/>
          <w:bCs/>
          <w:i/>
        </w:rPr>
        <w:t>Напомена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  <w:bCs/>
        </w:rPr>
        <w:t>достављање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овог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обрасца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обавезно</w:t>
      </w:r>
      <w:proofErr w:type="spellEnd"/>
      <w:r>
        <w:rPr>
          <w:rFonts w:ascii="Arial" w:hAnsi="Arial" w:cs="Arial"/>
          <w:bCs/>
        </w:rPr>
        <w:t>.</w:t>
      </w:r>
    </w:p>
    <w:p w:rsidR="0048014A" w:rsidRDefault="00D20ECD" w:rsidP="00D20ECD">
      <w:pPr>
        <w:ind w:firstLine="425"/>
      </w:pPr>
      <w:r>
        <w:rPr>
          <w:bCs/>
          <w:iCs/>
          <w:sz w:val="24"/>
          <w:szCs w:val="24"/>
          <w:lang w:val="sr-Cyrl-CS"/>
        </w:rPr>
        <w:t>* Ако се образац доставља, онда је потребно да се умножи и попуни за сваку партију посебно</w:t>
      </w:r>
    </w:p>
    <w:p w:rsidR="0083320E" w:rsidRDefault="0083320E"/>
    <w:sectPr w:rsidR="0083320E" w:rsidSect="00016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14A"/>
    <w:rsid w:val="0048014A"/>
    <w:rsid w:val="00640AFA"/>
    <w:rsid w:val="0083320E"/>
    <w:rsid w:val="00870E7E"/>
    <w:rsid w:val="00BC65EC"/>
    <w:rsid w:val="00C3259D"/>
    <w:rsid w:val="00D20ECD"/>
    <w:rsid w:val="00D9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Sekretar</cp:lastModifiedBy>
  <cp:revision>3</cp:revision>
  <cp:lastPrinted>2021-07-19T14:51:00Z</cp:lastPrinted>
  <dcterms:created xsi:type="dcterms:W3CDTF">2021-07-19T14:51:00Z</dcterms:created>
  <dcterms:modified xsi:type="dcterms:W3CDTF">2021-07-23T14:53:00Z</dcterms:modified>
</cp:coreProperties>
</file>